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7F2AD6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F2AD6" w:rsidRPr="007F2AD6">
        <w:rPr>
          <w:sz w:val="27"/>
          <w:szCs w:val="27"/>
        </w:rPr>
        <w:t>О размещении линий связи, линейно-кабельного сооружения связи и иных сооружений связи, для которых не требуется разрешения на строительство в границах кадастрового квартала 47:07:1004006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7F2AD6" w:rsidRPr="007F2AD6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6CF6" w:rsidRDefault="00436CF6" w:rsidP="003E7623">
      <w:r>
        <w:separator/>
      </w:r>
    </w:p>
  </w:endnote>
  <w:endnote w:type="continuationSeparator" w:id="0">
    <w:p w:rsidR="00436CF6" w:rsidRDefault="00436CF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6CF6" w:rsidRDefault="00436CF6" w:rsidP="003E7623">
      <w:r>
        <w:separator/>
      </w:r>
    </w:p>
  </w:footnote>
  <w:footnote w:type="continuationSeparator" w:id="0">
    <w:p w:rsidR="00436CF6" w:rsidRDefault="00436CF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6CF6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2AD6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A0E4E-857A-4711-8E49-F10AB2B2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2025-11-05T14:33:00Z</dcterms:created>
  <dcterms:modified xsi:type="dcterms:W3CDTF">2025-11-05T14:33:00Z</dcterms:modified>
</cp:coreProperties>
</file>